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6CE0A" w14:textId="23C4F5B3" w:rsidR="00C559D7" w:rsidRDefault="007D7FE4">
      <w:pPr>
        <w:spacing w:before="120" w:after="60"/>
        <w:jc w:val="center"/>
      </w:pPr>
      <w:r>
        <w:rPr>
          <w:b/>
          <w:bCs/>
          <w:color w:val="1F3864"/>
          <w:sz w:val="40"/>
          <w:szCs w:val="40"/>
        </w:rPr>
        <w:t>Meta Skill</w:t>
      </w:r>
      <w:r>
        <w:rPr>
          <w:b/>
          <w:bCs/>
          <w:color w:val="1F3864"/>
          <w:sz w:val="40"/>
          <w:szCs w:val="40"/>
        </w:rPr>
        <w:t xml:space="preserve"> &amp; Entrepreneurial Skill Sets</w:t>
      </w:r>
    </w:p>
    <w:p w14:paraId="7EAB4127" w14:textId="77777777" w:rsidR="00C559D7" w:rsidRDefault="007D7FE4">
      <w:pPr>
        <w:spacing w:after="60"/>
        <w:jc w:val="center"/>
      </w:pPr>
      <w:r>
        <w:rPr>
          <w:color w:val="595959"/>
          <w:sz w:val="22"/>
          <w:szCs w:val="22"/>
        </w:rPr>
        <w:t>What they are, how they relate, and why the distinction matters</w:t>
      </w:r>
    </w:p>
    <w:p w14:paraId="0AEF681D" w14:textId="77777777" w:rsidR="00C559D7" w:rsidRDefault="007D7FE4">
      <w:pPr>
        <w:spacing w:after="320"/>
        <w:jc w:val="center"/>
      </w:pPr>
      <w:r>
        <w:rPr>
          <w:color w:val="595959"/>
        </w:rPr>
        <w:t>A quick reference guide for Train the Trainer participants</w:t>
      </w:r>
    </w:p>
    <w:p w14:paraId="1D79C63A" w14:textId="77777777" w:rsidR="00C559D7" w:rsidRDefault="007D7FE4">
      <w:pPr>
        <w:pStyle w:val="Heading1"/>
      </w:pPr>
      <w:r>
        <w:t>Why this distinction matters</w:t>
      </w:r>
    </w:p>
    <w:p w14:paraId="63B6608E" w14:textId="77777777" w:rsidR="00C559D7" w:rsidRDefault="007D7FE4">
      <w:pPr>
        <w:spacing w:before="80" w:after="100"/>
      </w:pPr>
      <w:r>
        <w:t>Both frameworks describe skills that go beyond technical knowledge. Both matter for young people entering work. And in practice, they overlap significantly — which is why the two are often used interchangeably.</w:t>
      </w:r>
    </w:p>
    <w:p w14:paraId="66A31E58" w14:textId="77777777" w:rsidR="00C559D7" w:rsidRDefault="007D7FE4">
      <w:pPr>
        <w:spacing w:before="80" w:after="100"/>
      </w:pPr>
      <w:r>
        <w:t>But they are not the same thing, and the difference is worth being precise about. When you name a learning activity, label a column in a grading framework, or explain to an apprentice what they’re developing and why, that precision matters. It shapes how the learner understands what they’re building and how it will serve them.</w:t>
      </w:r>
    </w:p>
    <w:p w14:paraId="1AD0125A" w14:textId="77777777" w:rsidR="00C559D7" w:rsidRDefault="007D7FE4">
      <w:pPr>
        <w:spacing w:before="80" w:after="100"/>
      </w:pPr>
      <w:r>
        <w:t>The short version:</w:t>
      </w:r>
    </w:p>
    <w:p w14:paraId="3B5CCE41" w14:textId="77777777" w:rsidR="00C559D7" w:rsidRDefault="007D7FE4">
      <w:pPr>
        <w:pStyle w:val="ListParagraph"/>
        <w:numPr>
          <w:ilvl w:val="0"/>
          <w:numId w:val="2"/>
        </w:numPr>
        <w:spacing w:before="60" w:after="60"/>
      </w:pPr>
      <w:r>
        <w:t xml:space="preserve">Meta skills are </w:t>
      </w:r>
      <w:r>
        <w:rPr>
          <w:b/>
          <w:bCs/>
        </w:rPr>
        <w:t>broad, timeless, and human</w:t>
      </w:r>
      <w:r>
        <w:t xml:space="preserve"> — they help a person function, adapt, and thrive in any context.</w:t>
      </w:r>
    </w:p>
    <w:p w14:paraId="726158FE" w14:textId="77777777" w:rsidR="00C559D7" w:rsidRDefault="007D7FE4">
      <w:pPr>
        <w:pStyle w:val="ListParagraph"/>
        <w:numPr>
          <w:ilvl w:val="0"/>
          <w:numId w:val="2"/>
        </w:numPr>
        <w:spacing w:before="60" w:after="160"/>
      </w:pPr>
      <w:r>
        <w:t xml:space="preserve">Entrepreneurial skill sets are </w:t>
      </w:r>
      <w:r>
        <w:rPr>
          <w:b/>
          <w:bCs/>
        </w:rPr>
        <w:t>applied, business-facing, and action-oriented</w:t>
      </w:r>
      <w:r>
        <w:t xml:space="preserve"> — they help a person identify opportunities, take initiative, and create value in a work or enterprise context.</w:t>
      </w:r>
    </w:p>
    <w:p w14:paraId="1BA0101F" w14:textId="77777777" w:rsidR="00C559D7" w:rsidRDefault="007D7FE4">
      <w:pPr>
        <w:pStyle w:val="Heading1"/>
      </w:pPr>
      <w:r>
        <w:t>Side-by-side comparison</w:t>
      </w:r>
    </w:p>
    <w:p w14:paraId="669734E0" w14:textId="77777777" w:rsidR="00C559D7" w:rsidRDefault="007D7FE4">
      <w:pPr>
        <w:spacing w:before="80" w:after="100"/>
      </w:pPr>
      <w:r>
        <w:t>The SDS Skills 4.0 meta skills framework groups twelve skills across three clusters. Each cluster is mapped below against its closest entrepreneurial counterpart, with the key points of overlap and difference noted.</w:t>
      </w:r>
    </w:p>
    <w:p w14:paraId="51D45761" w14:textId="77777777" w:rsidR="00C559D7" w:rsidRDefault="00C559D7">
      <w:pPr>
        <w:spacing w:before="1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13"/>
        <w:gridCol w:w="4513"/>
      </w:tblGrid>
      <w:tr w:rsidR="00C559D7" w14:paraId="1308E5C7" w14:textId="77777777">
        <w:tblPrEx>
          <w:tblCellMar>
            <w:top w:w="0" w:type="dxa"/>
            <w:bottom w:w="0" w:type="dxa"/>
          </w:tblCellMar>
        </w:tblPrEx>
        <w:trPr>
          <w:tblHeader/>
        </w:trPr>
        <w:tc>
          <w:tcPr>
            <w:tcW w:w="4513" w:type="dxa"/>
            <w:tcBorders>
              <w:top w:val="single" w:sz="1" w:space="0" w:color="DDDDDD"/>
              <w:left w:val="single" w:sz="1" w:space="0" w:color="DDDDDD"/>
              <w:bottom w:val="single" w:sz="1" w:space="0" w:color="DDDDDD"/>
              <w:right w:val="single" w:sz="1" w:space="0" w:color="DDDDDD"/>
            </w:tcBorders>
            <w:shd w:val="clear" w:color="auto" w:fill="1F3864"/>
            <w:tcMar>
              <w:top w:w="100" w:type="dxa"/>
              <w:left w:w="140" w:type="dxa"/>
              <w:bottom w:w="100" w:type="dxa"/>
              <w:right w:w="140" w:type="dxa"/>
            </w:tcMar>
          </w:tcPr>
          <w:p w14:paraId="5A29148E" w14:textId="77777777" w:rsidR="00C559D7" w:rsidRDefault="007D7FE4">
            <w:r>
              <w:rPr>
                <w:b/>
                <w:bCs/>
                <w:color w:val="FFFFFF"/>
              </w:rPr>
              <w:t>Meta Skills (SDS Skills 4.0)</w:t>
            </w:r>
          </w:p>
        </w:tc>
        <w:tc>
          <w:tcPr>
            <w:tcW w:w="4513" w:type="dxa"/>
            <w:tcBorders>
              <w:top w:val="single" w:sz="1" w:space="0" w:color="DDDDDD"/>
              <w:left w:val="single" w:sz="1" w:space="0" w:color="DDDDDD"/>
              <w:bottom w:val="single" w:sz="1" w:space="0" w:color="DDDDDD"/>
              <w:right w:val="single" w:sz="1" w:space="0" w:color="DDDDDD"/>
            </w:tcBorders>
            <w:shd w:val="clear" w:color="auto" w:fill="B7410E"/>
            <w:tcMar>
              <w:top w:w="100" w:type="dxa"/>
              <w:left w:w="140" w:type="dxa"/>
              <w:bottom w:w="100" w:type="dxa"/>
              <w:right w:w="140" w:type="dxa"/>
            </w:tcMar>
          </w:tcPr>
          <w:p w14:paraId="75067023" w14:textId="77777777" w:rsidR="00C559D7" w:rsidRDefault="007D7FE4">
            <w:r>
              <w:rPr>
                <w:b/>
                <w:bCs/>
                <w:color w:val="FFFFFF"/>
              </w:rPr>
              <w:t>Entrepreneurial Skill Sets</w:t>
            </w:r>
          </w:p>
        </w:tc>
      </w:tr>
      <w:tr w:rsidR="00C559D7" w14:paraId="2B050B99" w14:textId="77777777">
        <w:tblPrEx>
          <w:tblCellMar>
            <w:top w:w="0" w:type="dxa"/>
            <w:bottom w:w="0" w:type="dxa"/>
          </w:tblCellMar>
        </w:tblPrEx>
        <w:tc>
          <w:tcPr>
            <w:tcW w:w="9026" w:type="dxa"/>
            <w:gridSpan w:val="2"/>
            <w:tcBorders>
              <w:top w:val="single" w:sz="1" w:space="0" w:color="DDDDDD"/>
              <w:left w:val="single" w:sz="1" w:space="0" w:color="DDDDDD"/>
              <w:bottom w:val="single" w:sz="1" w:space="0" w:color="DDDDDD"/>
              <w:right w:val="single" w:sz="1" w:space="0" w:color="DDDDDD"/>
            </w:tcBorders>
            <w:shd w:val="clear" w:color="auto" w:fill="2E5F8A"/>
            <w:tcMar>
              <w:top w:w="100" w:type="dxa"/>
              <w:left w:w="140" w:type="dxa"/>
              <w:bottom w:w="100" w:type="dxa"/>
              <w:right w:w="140" w:type="dxa"/>
            </w:tcMar>
          </w:tcPr>
          <w:p w14:paraId="5763CEE5" w14:textId="77777777" w:rsidR="00C559D7" w:rsidRDefault="007D7FE4">
            <w:r>
              <w:rPr>
                <w:b/>
                <w:bCs/>
                <w:color w:val="FFFFFF"/>
                <w:sz w:val="22"/>
                <w:szCs w:val="22"/>
              </w:rPr>
              <w:t>CLUSTER 1 — SELF-MANAGEMENT</w:t>
            </w:r>
          </w:p>
        </w:tc>
      </w:tr>
      <w:tr w:rsidR="00C559D7" w14:paraId="20B4AD80" w14:textId="77777777">
        <w:tblPrEx>
          <w:tblCellMar>
            <w:top w:w="0" w:type="dxa"/>
            <w:bottom w:w="0" w:type="dxa"/>
          </w:tblCellMar>
        </w:tblPrEx>
        <w:tc>
          <w:tcPr>
            <w:tcW w:w="4513" w:type="dxa"/>
            <w:tcBorders>
              <w:top w:val="single" w:sz="1" w:space="0" w:color="DDDDDD"/>
              <w:left w:val="single" w:sz="1" w:space="0" w:color="DDDDDD"/>
              <w:bottom w:val="single" w:sz="1" w:space="0" w:color="DDDDDD"/>
              <w:right w:val="single" w:sz="1" w:space="0" w:color="DDDDDD"/>
            </w:tcBorders>
            <w:shd w:val="clear" w:color="auto" w:fill="EBF3FB"/>
            <w:tcMar>
              <w:top w:w="100" w:type="dxa"/>
              <w:left w:w="140" w:type="dxa"/>
              <w:bottom w:w="100" w:type="dxa"/>
              <w:right w:w="140" w:type="dxa"/>
            </w:tcMar>
          </w:tcPr>
          <w:p w14:paraId="7B9AAF57" w14:textId="77777777" w:rsidR="00C559D7" w:rsidRDefault="007D7FE4">
            <w:r>
              <w:rPr>
                <w:color w:val="000000"/>
              </w:rPr>
              <w:t xml:space="preserve">Focusing </w:t>
            </w:r>
            <w:r>
              <w:rPr>
                <w:color w:val="000000"/>
              </w:rPr>
              <w:t>Directing attention and managing energy towards what matters</w:t>
            </w:r>
          </w:p>
        </w:tc>
        <w:tc>
          <w:tcPr>
            <w:tcW w:w="4513" w:type="dxa"/>
            <w:tcBorders>
              <w:top w:val="single" w:sz="1" w:space="0" w:color="DDDDDD"/>
              <w:left w:val="single" w:sz="1" w:space="0" w:color="DDDDDD"/>
              <w:bottom w:val="single" w:sz="1" w:space="0" w:color="DDDDDD"/>
              <w:right w:val="single" w:sz="1" w:space="0" w:color="DDDDDD"/>
            </w:tcBorders>
            <w:shd w:val="clear" w:color="auto" w:fill="FEF9EC"/>
            <w:tcMar>
              <w:top w:w="100" w:type="dxa"/>
              <w:left w:w="140" w:type="dxa"/>
              <w:bottom w:w="100" w:type="dxa"/>
              <w:right w:w="140" w:type="dxa"/>
            </w:tcMar>
          </w:tcPr>
          <w:p w14:paraId="784596BC" w14:textId="77777777" w:rsidR="00C559D7" w:rsidRDefault="007D7FE4">
            <w:r>
              <w:rPr>
                <w:color w:val="000000"/>
              </w:rPr>
              <w:t xml:space="preserve">Goal orientation </w:t>
            </w:r>
            <w:r>
              <w:rPr>
                <w:color w:val="000000"/>
              </w:rPr>
              <w:t>Setting targets, working backwards from an outcome, and maintaining momentum without external direction</w:t>
            </w:r>
          </w:p>
        </w:tc>
      </w:tr>
      <w:tr w:rsidR="00C559D7" w14:paraId="189B821B" w14:textId="77777777">
        <w:tblPrEx>
          <w:tblCellMar>
            <w:top w:w="0" w:type="dxa"/>
            <w:bottom w:w="0" w:type="dxa"/>
          </w:tblCellMar>
        </w:tblPrEx>
        <w:tc>
          <w:tcPr>
            <w:tcW w:w="4513" w:type="dxa"/>
            <w:tcBorders>
              <w:top w:val="single" w:sz="1" w:space="0" w:color="DDDDDD"/>
              <w:left w:val="single" w:sz="1" w:space="0" w:color="DDDDDD"/>
              <w:bottom w:val="single" w:sz="1" w:space="0" w:color="DDDDDD"/>
              <w:right w:val="single" w:sz="1" w:space="0" w:color="DDDDDD"/>
            </w:tcBorders>
            <w:shd w:val="clear" w:color="auto" w:fill="EBF3FB"/>
            <w:tcMar>
              <w:top w:w="100" w:type="dxa"/>
              <w:left w:w="140" w:type="dxa"/>
              <w:bottom w:w="100" w:type="dxa"/>
              <w:right w:w="140" w:type="dxa"/>
            </w:tcMar>
          </w:tcPr>
          <w:p w14:paraId="4E70BD13" w14:textId="77777777" w:rsidR="00C559D7" w:rsidRDefault="007D7FE4">
            <w:r>
              <w:rPr>
                <w:color w:val="000000"/>
              </w:rPr>
              <w:t>Integrity Acting with honesty and consistency; doing what you say you will do</w:t>
            </w:r>
          </w:p>
        </w:tc>
        <w:tc>
          <w:tcPr>
            <w:tcW w:w="4513" w:type="dxa"/>
            <w:tcBorders>
              <w:top w:val="single" w:sz="1" w:space="0" w:color="DDDDDD"/>
              <w:left w:val="single" w:sz="1" w:space="0" w:color="DDDDDD"/>
              <w:bottom w:val="single" w:sz="1" w:space="0" w:color="DDDDDD"/>
              <w:right w:val="single" w:sz="1" w:space="0" w:color="DDDDDD"/>
            </w:tcBorders>
            <w:shd w:val="clear" w:color="auto" w:fill="FEF9EC"/>
            <w:tcMar>
              <w:top w:w="100" w:type="dxa"/>
              <w:left w:w="140" w:type="dxa"/>
              <w:bottom w:w="100" w:type="dxa"/>
              <w:right w:w="140" w:type="dxa"/>
            </w:tcMar>
          </w:tcPr>
          <w:p w14:paraId="561256DF" w14:textId="77777777" w:rsidR="00C559D7" w:rsidRDefault="007D7FE4">
            <w:r>
              <w:rPr>
                <w:color w:val="000000"/>
              </w:rPr>
              <w:t>Personal accountability Owning the result — whether it succeeds or fails — without deflecting or waiting for others to act</w:t>
            </w:r>
          </w:p>
        </w:tc>
      </w:tr>
      <w:tr w:rsidR="00C559D7" w14:paraId="4023F7D5" w14:textId="77777777">
        <w:tblPrEx>
          <w:tblCellMar>
            <w:top w:w="0" w:type="dxa"/>
            <w:bottom w:w="0" w:type="dxa"/>
          </w:tblCellMar>
        </w:tblPrEx>
        <w:tc>
          <w:tcPr>
            <w:tcW w:w="4513" w:type="dxa"/>
            <w:tcBorders>
              <w:top w:val="single" w:sz="1" w:space="0" w:color="DDDDDD"/>
              <w:left w:val="single" w:sz="1" w:space="0" w:color="DDDDDD"/>
              <w:bottom w:val="single" w:sz="1" w:space="0" w:color="DDDDDD"/>
              <w:right w:val="single" w:sz="1" w:space="0" w:color="DDDDDD"/>
            </w:tcBorders>
            <w:shd w:val="clear" w:color="auto" w:fill="EBF3FB"/>
            <w:tcMar>
              <w:top w:w="100" w:type="dxa"/>
              <w:left w:w="140" w:type="dxa"/>
              <w:bottom w:w="100" w:type="dxa"/>
              <w:right w:w="140" w:type="dxa"/>
            </w:tcMar>
          </w:tcPr>
          <w:p w14:paraId="20DAF82A" w14:textId="77777777" w:rsidR="00C559D7" w:rsidRDefault="007D7FE4">
            <w:r>
              <w:rPr>
                <w:color w:val="000000"/>
              </w:rPr>
              <w:t>Adapting Adjusting to change, uncertainty, and new information</w:t>
            </w:r>
          </w:p>
        </w:tc>
        <w:tc>
          <w:tcPr>
            <w:tcW w:w="4513" w:type="dxa"/>
            <w:tcBorders>
              <w:top w:val="single" w:sz="1" w:space="0" w:color="DDDDDD"/>
              <w:left w:val="single" w:sz="1" w:space="0" w:color="DDDDDD"/>
              <w:bottom w:val="single" w:sz="1" w:space="0" w:color="DDDDDD"/>
              <w:right w:val="single" w:sz="1" w:space="0" w:color="DDDDDD"/>
            </w:tcBorders>
            <w:shd w:val="clear" w:color="auto" w:fill="FEF9EC"/>
            <w:tcMar>
              <w:top w:w="100" w:type="dxa"/>
              <w:left w:w="140" w:type="dxa"/>
              <w:bottom w:w="100" w:type="dxa"/>
              <w:right w:w="140" w:type="dxa"/>
            </w:tcMar>
          </w:tcPr>
          <w:p w14:paraId="0B6F1923" w14:textId="77777777" w:rsidR="00C559D7" w:rsidRDefault="007D7FE4">
            <w:r>
              <w:rPr>
                <w:color w:val="000000"/>
              </w:rPr>
              <w:t>Pivoting under pressure Recognising when a plan isn’t working and making a calculated decision to change direction — quickly and without paralysis</w:t>
            </w:r>
          </w:p>
        </w:tc>
      </w:tr>
      <w:tr w:rsidR="00C559D7" w14:paraId="51C66DFD" w14:textId="77777777">
        <w:tblPrEx>
          <w:tblCellMar>
            <w:top w:w="0" w:type="dxa"/>
            <w:bottom w:w="0" w:type="dxa"/>
          </w:tblCellMar>
        </w:tblPrEx>
        <w:tc>
          <w:tcPr>
            <w:tcW w:w="4513" w:type="dxa"/>
            <w:tcBorders>
              <w:top w:val="single" w:sz="1" w:space="0" w:color="DDDDDD"/>
              <w:left w:val="single" w:sz="1" w:space="0" w:color="DDDDDD"/>
              <w:bottom w:val="single" w:sz="1" w:space="0" w:color="DDDDDD"/>
              <w:right w:val="single" w:sz="1" w:space="0" w:color="DDDDDD"/>
            </w:tcBorders>
            <w:shd w:val="clear" w:color="auto" w:fill="EBF3FB"/>
            <w:tcMar>
              <w:top w:w="100" w:type="dxa"/>
              <w:left w:w="140" w:type="dxa"/>
              <w:bottom w:w="100" w:type="dxa"/>
              <w:right w:w="140" w:type="dxa"/>
            </w:tcMar>
          </w:tcPr>
          <w:p w14:paraId="3EE76EFC" w14:textId="77777777" w:rsidR="00C559D7" w:rsidRDefault="007D7FE4">
            <w:r>
              <w:rPr>
                <w:color w:val="000000"/>
              </w:rPr>
              <w:t>Initiative Acting without being told; spotting what needs doing and doing it</w:t>
            </w:r>
          </w:p>
        </w:tc>
        <w:tc>
          <w:tcPr>
            <w:tcW w:w="4513" w:type="dxa"/>
            <w:tcBorders>
              <w:top w:val="single" w:sz="1" w:space="0" w:color="DDDDDD"/>
              <w:left w:val="single" w:sz="1" w:space="0" w:color="DDDDDD"/>
              <w:bottom w:val="single" w:sz="1" w:space="0" w:color="DDDDDD"/>
              <w:right w:val="single" w:sz="1" w:space="0" w:color="DDDDDD"/>
            </w:tcBorders>
            <w:shd w:val="clear" w:color="auto" w:fill="FEF9EC"/>
            <w:tcMar>
              <w:top w:w="100" w:type="dxa"/>
              <w:left w:w="140" w:type="dxa"/>
              <w:bottom w:w="100" w:type="dxa"/>
              <w:right w:w="140" w:type="dxa"/>
            </w:tcMar>
          </w:tcPr>
          <w:p w14:paraId="4F9993C3" w14:textId="77777777" w:rsidR="00C559D7" w:rsidRDefault="007D7FE4">
            <w:r>
              <w:rPr>
                <w:color w:val="000000"/>
              </w:rPr>
              <w:t>Opportunity recognition Actively scanning for gaps, inefficiencies, or unmet needs — and moving before someone else does</w:t>
            </w:r>
          </w:p>
        </w:tc>
      </w:tr>
      <w:tr w:rsidR="00C559D7" w14:paraId="0E69058D" w14:textId="77777777">
        <w:tblPrEx>
          <w:tblCellMar>
            <w:top w:w="0" w:type="dxa"/>
            <w:bottom w:w="0" w:type="dxa"/>
          </w:tblCellMar>
        </w:tblPrEx>
        <w:tc>
          <w:tcPr>
            <w:tcW w:w="9026" w:type="dxa"/>
            <w:gridSpan w:val="2"/>
            <w:tcBorders>
              <w:top w:val="single" w:sz="1" w:space="0" w:color="DDDDDD"/>
              <w:left w:val="single" w:sz="1" w:space="0" w:color="DDDDDD"/>
              <w:bottom w:val="single" w:sz="1" w:space="0" w:color="DDDDDD"/>
              <w:right w:val="single" w:sz="1" w:space="0" w:color="DDDDDD"/>
            </w:tcBorders>
            <w:shd w:val="clear" w:color="auto" w:fill="2E5F8A"/>
            <w:tcMar>
              <w:top w:w="100" w:type="dxa"/>
              <w:left w:w="140" w:type="dxa"/>
              <w:bottom w:w="100" w:type="dxa"/>
              <w:right w:w="140" w:type="dxa"/>
            </w:tcMar>
          </w:tcPr>
          <w:p w14:paraId="44766E0F" w14:textId="77777777" w:rsidR="00C559D7" w:rsidRDefault="007D7FE4">
            <w:r>
              <w:rPr>
                <w:b/>
                <w:bCs/>
                <w:color w:val="FFFFFF"/>
                <w:sz w:val="22"/>
                <w:szCs w:val="22"/>
              </w:rPr>
              <w:t>CLUSTER 2 — SOCIAL INTELLIGENCE</w:t>
            </w:r>
          </w:p>
        </w:tc>
      </w:tr>
      <w:tr w:rsidR="00C559D7" w14:paraId="17699DC3" w14:textId="77777777">
        <w:tblPrEx>
          <w:tblCellMar>
            <w:top w:w="0" w:type="dxa"/>
            <w:bottom w:w="0" w:type="dxa"/>
          </w:tblCellMar>
        </w:tblPrEx>
        <w:tc>
          <w:tcPr>
            <w:tcW w:w="4513" w:type="dxa"/>
            <w:tcBorders>
              <w:top w:val="single" w:sz="1" w:space="0" w:color="DDDDDD"/>
              <w:left w:val="single" w:sz="1" w:space="0" w:color="DDDDDD"/>
              <w:bottom w:val="single" w:sz="1" w:space="0" w:color="DDDDDD"/>
              <w:right w:val="single" w:sz="1" w:space="0" w:color="DDDDDD"/>
            </w:tcBorders>
            <w:shd w:val="clear" w:color="auto" w:fill="EBF3FB"/>
            <w:tcMar>
              <w:top w:w="100" w:type="dxa"/>
              <w:left w:w="140" w:type="dxa"/>
              <w:bottom w:w="100" w:type="dxa"/>
              <w:right w:w="140" w:type="dxa"/>
            </w:tcMar>
          </w:tcPr>
          <w:p w14:paraId="6E06AC5D" w14:textId="77777777" w:rsidR="00C559D7" w:rsidRDefault="007D7FE4">
            <w:r>
              <w:rPr>
                <w:color w:val="000000"/>
              </w:rPr>
              <w:t>Communicating Conveying ideas clearly; listening well; adjusting to your audience</w:t>
            </w:r>
          </w:p>
        </w:tc>
        <w:tc>
          <w:tcPr>
            <w:tcW w:w="4513" w:type="dxa"/>
            <w:tcBorders>
              <w:top w:val="single" w:sz="1" w:space="0" w:color="DDDDDD"/>
              <w:left w:val="single" w:sz="1" w:space="0" w:color="DDDDDD"/>
              <w:bottom w:val="single" w:sz="1" w:space="0" w:color="DDDDDD"/>
              <w:right w:val="single" w:sz="1" w:space="0" w:color="DDDDDD"/>
            </w:tcBorders>
            <w:shd w:val="clear" w:color="auto" w:fill="FEF9EC"/>
            <w:tcMar>
              <w:top w:w="100" w:type="dxa"/>
              <w:left w:w="140" w:type="dxa"/>
              <w:bottom w:w="100" w:type="dxa"/>
              <w:right w:w="140" w:type="dxa"/>
            </w:tcMar>
          </w:tcPr>
          <w:p w14:paraId="110F6A31" w14:textId="77777777" w:rsidR="00C559D7" w:rsidRDefault="007D7FE4">
            <w:r>
              <w:rPr>
                <w:color w:val="000000"/>
              </w:rPr>
              <w:t>Pitching and persuasion Selling an idea, a solution, or yourself — with clarity, confidence, and awareness of what the other person needs to hear</w:t>
            </w:r>
          </w:p>
        </w:tc>
      </w:tr>
      <w:tr w:rsidR="00C559D7" w14:paraId="5CB66298" w14:textId="77777777">
        <w:tblPrEx>
          <w:tblCellMar>
            <w:top w:w="0" w:type="dxa"/>
            <w:bottom w:w="0" w:type="dxa"/>
          </w:tblCellMar>
        </w:tblPrEx>
        <w:tc>
          <w:tcPr>
            <w:tcW w:w="4513" w:type="dxa"/>
            <w:tcBorders>
              <w:top w:val="single" w:sz="1" w:space="0" w:color="DDDDDD"/>
              <w:left w:val="single" w:sz="1" w:space="0" w:color="DDDDDD"/>
              <w:bottom w:val="single" w:sz="1" w:space="0" w:color="DDDDDD"/>
              <w:right w:val="single" w:sz="1" w:space="0" w:color="DDDDDD"/>
            </w:tcBorders>
            <w:shd w:val="clear" w:color="auto" w:fill="EBF3FB"/>
            <w:tcMar>
              <w:top w:w="100" w:type="dxa"/>
              <w:left w:w="140" w:type="dxa"/>
              <w:bottom w:w="100" w:type="dxa"/>
              <w:right w:w="140" w:type="dxa"/>
            </w:tcMar>
          </w:tcPr>
          <w:p w14:paraId="49D61203" w14:textId="77777777" w:rsidR="00C559D7" w:rsidRDefault="007D7FE4">
            <w:r>
              <w:rPr>
                <w:color w:val="000000"/>
              </w:rPr>
              <w:t xml:space="preserve">Feeling </w:t>
            </w:r>
            <w:r>
              <w:rPr>
                <w:color w:val="000000"/>
              </w:rPr>
              <w:t>Empathy and emotional awareness; reading a room; understanding others’ perspectives</w:t>
            </w:r>
          </w:p>
        </w:tc>
        <w:tc>
          <w:tcPr>
            <w:tcW w:w="4513" w:type="dxa"/>
            <w:tcBorders>
              <w:top w:val="single" w:sz="1" w:space="0" w:color="DDDDDD"/>
              <w:left w:val="single" w:sz="1" w:space="0" w:color="DDDDDD"/>
              <w:bottom w:val="single" w:sz="1" w:space="0" w:color="DDDDDD"/>
              <w:right w:val="single" w:sz="1" w:space="0" w:color="DDDDDD"/>
            </w:tcBorders>
            <w:shd w:val="clear" w:color="auto" w:fill="FEF9EC"/>
            <w:tcMar>
              <w:top w:w="100" w:type="dxa"/>
              <w:left w:w="140" w:type="dxa"/>
              <w:bottom w:w="100" w:type="dxa"/>
              <w:right w:w="140" w:type="dxa"/>
            </w:tcMar>
          </w:tcPr>
          <w:p w14:paraId="347DE491" w14:textId="77777777" w:rsidR="00C559D7" w:rsidRDefault="007D7FE4">
            <w:r>
              <w:rPr>
                <w:color w:val="000000"/>
              </w:rPr>
              <w:t xml:space="preserve">Customer and stakeholder insight Understanding what people </w:t>
            </w:r>
            <w:proofErr w:type="gramStart"/>
            <w:r>
              <w:rPr>
                <w:color w:val="000000"/>
              </w:rPr>
              <w:t>actually need</w:t>
            </w:r>
            <w:proofErr w:type="gramEnd"/>
            <w:r>
              <w:rPr>
                <w:color w:val="000000"/>
              </w:rPr>
              <w:t xml:space="preserve"> (not just what they say they want) and using that understanding to shape what you offer</w:t>
            </w:r>
          </w:p>
        </w:tc>
      </w:tr>
      <w:tr w:rsidR="00C559D7" w14:paraId="77A3A628" w14:textId="77777777">
        <w:tblPrEx>
          <w:tblCellMar>
            <w:top w:w="0" w:type="dxa"/>
            <w:bottom w:w="0" w:type="dxa"/>
          </w:tblCellMar>
        </w:tblPrEx>
        <w:tc>
          <w:tcPr>
            <w:tcW w:w="4513" w:type="dxa"/>
            <w:tcBorders>
              <w:top w:val="single" w:sz="1" w:space="0" w:color="DDDDDD"/>
              <w:left w:val="single" w:sz="1" w:space="0" w:color="DDDDDD"/>
              <w:bottom w:val="single" w:sz="1" w:space="0" w:color="DDDDDD"/>
              <w:right w:val="single" w:sz="1" w:space="0" w:color="DDDDDD"/>
            </w:tcBorders>
            <w:shd w:val="clear" w:color="auto" w:fill="EBF3FB"/>
            <w:tcMar>
              <w:top w:w="100" w:type="dxa"/>
              <w:left w:w="140" w:type="dxa"/>
              <w:bottom w:w="100" w:type="dxa"/>
              <w:right w:w="140" w:type="dxa"/>
            </w:tcMar>
          </w:tcPr>
          <w:p w14:paraId="5BF14BD7" w14:textId="77777777" w:rsidR="00C559D7" w:rsidRDefault="007D7FE4">
            <w:r>
              <w:rPr>
                <w:color w:val="000000"/>
              </w:rPr>
              <w:t>Collaborating Working effectively with others; sharing, compromising, contributing to a shared goal</w:t>
            </w:r>
          </w:p>
        </w:tc>
        <w:tc>
          <w:tcPr>
            <w:tcW w:w="4513" w:type="dxa"/>
            <w:tcBorders>
              <w:top w:val="single" w:sz="1" w:space="0" w:color="DDDDDD"/>
              <w:left w:val="single" w:sz="1" w:space="0" w:color="DDDDDD"/>
              <w:bottom w:val="single" w:sz="1" w:space="0" w:color="DDDDDD"/>
              <w:right w:val="single" w:sz="1" w:space="0" w:color="DDDDDD"/>
            </w:tcBorders>
            <w:shd w:val="clear" w:color="auto" w:fill="FEF9EC"/>
            <w:tcMar>
              <w:top w:w="100" w:type="dxa"/>
              <w:left w:w="140" w:type="dxa"/>
              <w:bottom w:w="100" w:type="dxa"/>
              <w:right w:w="140" w:type="dxa"/>
            </w:tcMar>
          </w:tcPr>
          <w:p w14:paraId="52F76327" w14:textId="77777777" w:rsidR="00C559D7" w:rsidRDefault="007D7FE4">
            <w:r>
              <w:rPr>
                <w:color w:val="000000"/>
              </w:rPr>
              <w:t>Building and leveraging networks Knowing who to involve, who to ask, and how to create relationships that generate mutual value — not just completing a group task</w:t>
            </w:r>
          </w:p>
        </w:tc>
      </w:tr>
      <w:tr w:rsidR="00C559D7" w14:paraId="6FBB30EE" w14:textId="77777777">
        <w:tblPrEx>
          <w:tblCellMar>
            <w:top w:w="0" w:type="dxa"/>
            <w:bottom w:w="0" w:type="dxa"/>
          </w:tblCellMar>
        </w:tblPrEx>
        <w:tc>
          <w:tcPr>
            <w:tcW w:w="4513" w:type="dxa"/>
            <w:tcBorders>
              <w:top w:val="single" w:sz="1" w:space="0" w:color="DDDDDD"/>
              <w:left w:val="single" w:sz="1" w:space="0" w:color="DDDDDD"/>
              <w:bottom w:val="single" w:sz="1" w:space="0" w:color="DDDDDD"/>
              <w:right w:val="single" w:sz="1" w:space="0" w:color="DDDDDD"/>
            </w:tcBorders>
            <w:shd w:val="clear" w:color="auto" w:fill="EBF3FB"/>
            <w:tcMar>
              <w:top w:w="100" w:type="dxa"/>
              <w:left w:w="140" w:type="dxa"/>
              <w:bottom w:w="100" w:type="dxa"/>
              <w:right w:w="140" w:type="dxa"/>
            </w:tcMar>
          </w:tcPr>
          <w:p w14:paraId="5C2A4850" w14:textId="77777777" w:rsidR="00C559D7" w:rsidRDefault="007D7FE4">
            <w:r>
              <w:rPr>
                <w:color w:val="000000"/>
              </w:rPr>
              <w:lastRenderedPageBreak/>
              <w:t>Leading Influencing and guiding others; taking responsibility for a shared outcome</w:t>
            </w:r>
          </w:p>
        </w:tc>
        <w:tc>
          <w:tcPr>
            <w:tcW w:w="4513" w:type="dxa"/>
            <w:tcBorders>
              <w:top w:val="single" w:sz="1" w:space="0" w:color="DDDDDD"/>
              <w:left w:val="single" w:sz="1" w:space="0" w:color="DDDDDD"/>
              <w:bottom w:val="single" w:sz="1" w:space="0" w:color="DDDDDD"/>
              <w:right w:val="single" w:sz="1" w:space="0" w:color="DDDDDD"/>
            </w:tcBorders>
            <w:shd w:val="clear" w:color="auto" w:fill="FEF9EC"/>
            <w:tcMar>
              <w:top w:w="100" w:type="dxa"/>
              <w:left w:w="140" w:type="dxa"/>
              <w:bottom w:w="100" w:type="dxa"/>
              <w:right w:w="140" w:type="dxa"/>
            </w:tcMar>
          </w:tcPr>
          <w:p w14:paraId="5D250199" w14:textId="77777777" w:rsidR="00C559D7" w:rsidRDefault="007D7FE4">
            <w:r>
              <w:rPr>
                <w:color w:val="000000"/>
              </w:rPr>
              <w:t>Entrepreneurial leadership Creating direction when there is no roadmap; bringing others along without positional authority; leading through ambiguity</w:t>
            </w:r>
          </w:p>
        </w:tc>
      </w:tr>
      <w:tr w:rsidR="00C559D7" w14:paraId="722AF57C" w14:textId="77777777">
        <w:tblPrEx>
          <w:tblCellMar>
            <w:top w:w="0" w:type="dxa"/>
            <w:bottom w:w="0" w:type="dxa"/>
          </w:tblCellMar>
        </w:tblPrEx>
        <w:tc>
          <w:tcPr>
            <w:tcW w:w="9026" w:type="dxa"/>
            <w:gridSpan w:val="2"/>
            <w:tcBorders>
              <w:top w:val="single" w:sz="1" w:space="0" w:color="DDDDDD"/>
              <w:left w:val="single" w:sz="1" w:space="0" w:color="DDDDDD"/>
              <w:bottom w:val="single" w:sz="1" w:space="0" w:color="DDDDDD"/>
              <w:right w:val="single" w:sz="1" w:space="0" w:color="DDDDDD"/>
            </w:tcBorders>
            <w:shd w:val="clear" w:color="auto" w:fill="2E5F8A"/>
            <w:tcMar>
              <w:top w:w="100" w:type="dxa"/>
              <w:left w:w="140" w:type="dxa"/>
              <w:bottom w:w="100" w:type="dxa"/>
              <w:right w:w="140" w:type="dxa"/>
            </w:tcMar>
          </w:tcPr>
          <w:p w14:paraId="7B511F4E" w14:textId="77777777" w:rsidR="00C559D7" w:rsidRDefault="007D7FE4">
            <w:r>
              <w:rPr>
                <w:b/>
                <w:bCs/>
                <w:color w:val="FFFFFF"/>
                <w:sz w:val="22"/>
                <w:szCs w:val="22"/>
              </w:rPr>
              <w:t>CLUSTER 3 — INNOVATION</w:t>
            </w:r>
          </w:p>
        </w:tc>
      </w:tr>
      <w:tr w:rsidR="00C559D7" w14:paraId="160F3C68" w14:textId="77777777">
        <w:tblPrEx>
          <w:tblCellMar>
            <w:top w:w="0" w:type="dxa"/>
            <w:bottom w:w="0" w:type="dxa"/>
          </w:tblCellMar>
        </w:tblPrEx>
        <w:tc>
          <w:tcPr>
            <w:tcW w:w="4513" w:type="dxa"/>
            <w:tcBorders>
              <w:top w:val="single" w:sz="1" w:space="0" w:color="DDDDDD"/>
              <w:left w:val="single" w:sz="1" w:space="0" w:color="DDDDDD"/>
              <w:bottom w:val="single" w:sz="1" w:space="0" w:color="DDDDDD"/>
              <w:right w:val="single" w:sz="1" w:space="0" w:color="DDDDDD"/>
            </w:tcBorders>
            <w:shd w:val="clear" w:color="auto" w:fill="EBF3FB"/>
            <w:tcMar>
              <w:top w:w="100" w:type="dxa"/>
              <w:left w:w="140" w:type="dxa"/>
              <w:bottom w:w="100" w:type="dxa"/>
              <w:right w:w="140" w:type="dxa"/>
            </w:tcMar>
          </w:tcPr>
          <w:p w14:paraId="75188384" w14:textId="77777777" w:rsidR="00C559D7" w:rsidRDefault="007D7FE4">
            <w:r>
              <w:rPr>
                <w:color w:val="000000"/>
              </w:rPr>
              <w:t>Curiosity Asking questions; exploring; wanting to understand how things work</w:t>
            </w:r>
          </w:p>
        </w:tc>
        <w:tc>
          <w:tcPr>
            <w:tcW w:w="4513" w:type="dxa"/>
            <w:tcBorders>
              <w:top w:val="single" w:sz="1" w:space="0" w:color="DDDDDD"/>
              <w:left w:val="single" w:sz="1" w:space="0" w:color="DDDDDD"/>
              <w:bottom w:val="single" w:sz="1" w:space="0" w:color="DDDDDD"/>
              <w:right w:val="single" w:sz="1" w:space="0" w:color="DDDDDD"/>
            </w:tcBorders>
            <w:shd w:val="clear" w:color="auto" w:fill="FEF9EC"/>
            <w:tcMar>
              <w:top w:w="100" w:type="dxa"/>
              <w:left w:w="140" w:type="dxa"/>
              <w:bottom w:w="100" w:type="dxa"/>
              <w:right w:w="140" w:type="dxa"/>
            </w:tcMar>
          </w:tcPr>
          <w:p w14:paraId="487A4754" w14:textId="77777777" w:rsidR="00C559D7" w:rsidRDefault="007D7FE4">
            <w:r>
              <w:rPr>
                <w:color w:val="000000"/>
              </w:rPr>
              <w:t>Problem hunting Deliberately looking for problems worth solving — not just answering the question asked, but questioning whether it’s the right question</w:t>
            </w:r>
          </w:p>
        </w:tc>
      </w:tr>
      <w:tr w:rsidR="00C559D7" w14:paraId="0905DF38" w14:textId="77777777">
        <w:tblPrEx>
          <w:tblCellMar>
            <w:top w:w="0" w:type="dxa"/>
            <w:bottom w:w="0" w:type="dxa"/>
          </w:tblCellMar>
        </w:tblPrEx>
        <w:tc>
          <w:tcPr>
            <w:tcW w:w="4513" w:type="dxa"/>
            <w:tcBorders>
              <w:top w:val="single" w:sz="1" w:space="0" w:color="DDDDDD"/>
              <w:left w:val="single" w:sz="1" w:space="0" w:color="DDDDDD"/>
              <w:bottom w:val="single" w:sz="1" w:space="0" w:color="DDDDDD"/>
              <w:right w:val="single" w:sz="1" w:space="0" w:color="DDDDDD"/>
            </w:tcBorders>
            <w:shd w:val="clear" w:color="auto" w:fill="EBF3FB"/>
            <w:tcMar>
              <w:top w:w="100" w:type="dxa"/>
              <w:left w:w="140" w:type="dxa"/>
              <w:bottom w:w="100" w:type="dxa"/>
              <w:right w:w="140" w:type="dxa"/>
            </w:tcMar>
          </w:tcPr>
          <w:p w14:paraId="618D21EB" w14:textId="77777777" w:rsidR="00C559D7" w:rsidRDefault="007D7FE4">
            <w:r>
              <w:rPr>
                <w:color w:val="000000"/>
              </w:rPr>
              <w:t xml:space="preserve">Creativity </w:t>
            </w:r>
            <w:r>
              <w:rPr>
                <w:color w:val="000000"/>
              </w:rPr>
              <w:t>Generating ideas; making connections; thinking differently</w:t>
            </w:r>
          </w:p>
        </w:tc>
        <w:tc>
          <w:tcPr>
            <w:tcW w:w="4513" w:type="dxa"/>
            <w:tcBorders>
              <w:top w:val="single" w:sz="1" w:space="0" w:color="DDDDDD"/>
              <w:left w:val="single" w:sz="1" w:space="0" w:color="DDDDDD"/>
              <w:bottom w:val="single" w:sz="1" w:space="0" w:color="DDDDDD"/>
              <w:right w:val="single" w:sz="1" w:space="0" w:color="DDDDDD"/>
            </w:tcBorders>
            <w:shd w:val="clear" w:color="auto" w:fill="FEF9EC"/>
            <w:tcMar>
              <w:top w:w="100" w:type="dxa"/>
              <w:left w:w="140" w:type="dxa"/>
              <w:bottom w:w="100" w:type="dxa"/>
              <w:right w:w="140" w:type="dxa"/>
            </w:tcMar>
          </w:tcPr>
          <w:p w14:paraId="7E5B20CA" w14:textId="77777777" w:rsidR="00C559D7" w:rsidRDefault="007D7FE4">
            <w:r>
              <w:rPr>
                <w:color w:val="000000"/>
              </w:rPr>
              <w:t>Ideation and prototyping Moving from ‘what if’ to ‘what could this look like’ — turning creative thinking into something testable, even if rough</w:t>
            </w:r>
          </w:p>
        </w:tc>
      </w:tr>
      <w:tr w:rsidR="00C559D7" w14:paraId="25801A14" w14:textId="77777777">
        <w:tblPrEx>
          <w:tblCellMar>
            <w:top w:w="0" w:type="dxa"/>
            <w:bottom w:w="0" w:type="dxa"/>
          </w:tblCellMar>
        </w:tblPrEx>
        <w:tc>
          <w:tcPr>
            <w:tcW w:w="4513" w:type="dxa"/>
            <w:tcBorders>
              <w:top w:val="single" w:sz="1" w:space="0" w:color="DDDDDD"/>
              <w:left w:val="single" w:sz="1" w:space="0" w:color="DDDDDD"/>
              <w:bottom w:val="single" w:sz="1" w:space="0" w:color="DDDDDD"/>
              <w:right w:val="single" w:sz="1" w:space="0" w:color="DDDDDD"/>
            </w:tcBorders>
            <w:shd w:val="clear" w:color="auto" w:fill="EBF3FB"/>
            <w:tcMar>
              <w:top w:w="100" w:type="dxa"/>
              <w:left w:w="140" w:type="dxa"/>
              <w:bottom w:w="100" w:type="dxa"/>
              <w:right w:w="140" w:type="dxa"/>
            </w:tcMar>
          </w:tcPr>
          <w:p w14:paraId="4151284F" w14:textId="77777777" w:rsidR="00C559D7" w:rsidRDefault="007D7FE4">
            <w:r>
              <w:rPr>
                <w:color w:val="000000"/>
              </w:rPr>
              <w:t>Sense-making Finding patterns; interpreting information; making meaning from complexity</w:t>
            </w:r>
          </w:p>
        </w:tc>
        <w:tc>
          <w:tcPr>
            <w:tcW w:w="4513" w:type="dxa"/>
            <w:tcBorders>
              <w:top w:val="single" w:sz="1" w:space="0" w:color="DDDDDD"/>
              <w:left w:val="single" w:sz="1" w:space="0" w:color="DDDDDD"/>
              <w:bottom w:val="single" w:sz="1" w:space="0" w:color="DDDDDD"/>
              <w:right w:val="single" w:sz="1" w:space="0" w:color="DDDDDD"/>
            </w:tcBorders>
            <w:shd w:val="clear" w:color="auto" w:fill="FEF9EC"/>
            <w:tcMar>
              <w:top w:w="100" w:type="dxa"/>
              <w:left w:w="140" w:type="dxa"/>
              <w:bottom w:w="100" w:type="dxa"/>
              <w:right w:w="140" w:type="dxa"/>
            </w:tcMar>
          </w:tcPr>
          <w:p w14:paraId="618424AE" w14:textId="77777777" w:rsidR="00C559D7" w:rsidRDefault="007D7FE4">
            <w:r>
              <w:rPr>
                <w:color w:val="000000"/>
              </w:rPr>
              <w:t>Market and context reading Understanding the landscape you’re operating in — what’s changing, what’s driving it, and where there’s space to move</w:t>
            </w:r>
          </w:p>
        </w:tc>
      </w:tr>
      <w:tr w:rsidR="00C559D7" w14:paraId="59C70C94" w14:textId="77777777">
        <w:tblPrEx>
          <w:tblCellMar>
            <w:top w:w="0" w:type="dxa"/>
            <w:bottom w:w="0" w:type="dxa"/>
          </w:tblCellMar>
        </w:tblPrEx>
        <w:tc>
          <w:tcPr>
            <w:tcW w:w="4513" w:type="dxa"/>
            <w:tcBorders>
              <w:top w:val="single" w:sz="1" w:space="0" w:color="DDDDDD"/>
              <w:left w:val="single" w:sz="1" w:space="0" w:color="DDDDDD"/>
              <w:bottom w:val="single" w:sz="1" w:space="0" w:color="DDDDDD"/>
              <w:right w:val="single" w:sz="1" w:space="0" w:color="DDDDDD"/>
            </w:tcBorders>
            <w:shd w:val="clear" w:color="auto" w:fill="EBF3FB"/>
            <w:tcMar>
              <w:top w:w="100" w:type="dxa"/>
              <w:left w:w="140" w:type="dxa"/>
              <w:bottom w:w="100" w:type="dxa"/>
              <w:right w:w="140" w:type="dxa"/>
            </w:tcMar>
          </w:tcPr>
          <w:p w14:paraId="3E753633" w14:textId="77777777" w:rsidR="00C559D7" w:rsidRDefault="007D7FE4">
            <w:r>
              <w:rPr>
                <w:color w:val="000000"/>
              </w:rPr>
              <w:t>Critical thinking Evaluating evidence; testing assumptions; reasoning carefully before acting</w:t>
            </w:r>
          </w:p>
        </w:tc>
        <w:tc>
          <w:tcPr>
            <w:tcW w:w="4513" w:type="dxa"/>
            <w:tcBorders>
              <w:top w:val="single" w:sz="1" w:space="0" w:color="DDDDDD"/>
              <w:left w:val="single" w:sz="1" w:space="0" w:color="DDDDDD"/>
              <w:bottom w:val="single" w:sz="1" w:space="0" w:color="DDDDDD"/>
              <w:right w:val="single" w:sz="1" w:space="0" w:color="DDDDDD"/>
            </w:tcBorders>
            <w:shd w:val="clear" w:color="auto" w:fill="FEF9EC"/>
            <w:tcMar>
              <w:top w:w="100" w:type="dxa"/>
              <w:left w:w="140" w:type="dxa"/>
              <w:bottom w:w="100" w:type="dxa"/>
              <w:right w:w="140" w:type="dxa"/>
            </w:tcMar>
          </w:tcPr>
          <w:p w14:paraId="31AD2090" w14:textId="77777777" w:rsidR="00C559D7" w:rsidRDefault="007D7FE4">
            <w:r>
              <w:rPr>
                <w:color w:val="000000"/>
              </w:rPr>
              <w:t>Risk assessment and decision-making Weighing up options under uncertainty, with incomplete information, often with real consequences — and committing to a course of action anyway</w:t>
            </w:r>
          </w:p>
        </w:tc>
      </w:tr>
    </w:tbl>
    <w:p w14:paraId="443A628E" w14:textId="77777777" w:rsidR="00C559D7" w:rsidRDefault="00C559D7">
      <w:pPr>
        <w:spacing w:before="320"/>
      </w:pPr>
    </w:p>
    <w:p w14:paraId="0EE3C4CB" w14:textId="77777777" w:rsidR="00C559D7" w:rsidRDefault="007D7FE4">
      <w:pPr>
        <w:pStyle w:val="Heading1"/>
      </w:pPr>
      <w:r>
        <w:t>The crucial differences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3513"/>
        <w:gridCol w:w="3513"/>
      </w:tblGrid>
      <w:tr w:rsidR="00C559D7" w14:paraId="015256E4" w14:textId="77777777">
        <w:tblPrEx>
          <w:tblCellMar>
            <w:top w:w="0" w:type="dxa"/>
            <w:bottom w:w="0" w:type="dxa"/>
          </w:tblCellMar>
        </w:tblPrEx>
        <w:trPr>
          <w:tblHeader/>
        </w:trPr>
        <w:tc>
          <w:tcPr>
            <w:tcW w:w="2000" w:type="dxa"/>
            <w:tcBorders>
              <w:top w:val="single" w:sz="1" w:space="0" w:color="DDDDDD"/>
              <w:left w:val="single" w:sz="1" w:space="0" w:color="DDDDDD"/>
              <w:bottom w:val="single" w:sz="1" w:space="0" w:color="DDDDDD"/>
              <w:right w:val="single" w:sz="1" w:space="0" w:color="DDDDDD"/>
            </w:tcBorders>
            <w:shd w:val="clear" w:color="auto" w:fill="1F3864"/>
            <w:tcMar>
              <w:top w:w="100" w:type="dxa"/>
              <w:left w:w="140" w:type="dxa"/>
              <w:bottom w:w="100" w:type="dxa"/>
              <w:right w:w="140" w:type="dxa"/>
            </w:tcMar>
          </w:tcPr>
          <w:p w14:paraId="5301661A" w14:textId="77777777" w:rsidR="00C559D7" w:rsidRDefault="007D7FE4">
            <w:r>
              <w:t xml:space="preserve"> </w:t>
            </w:r>
          </w:p>
        </w:tc>
        <w:tc>
          <w:tcPr>
            <w:tcW w:w="3513" w:type="dxa"/>
            <w:tcBorders>
              <w:top w:val="single" w:sz="1" w:space="0" w:color="DDDDDD"/>
              <w:left w:val="single" w:sz="1" w:space="0" w:color="DDDDDD"/>
              <w:bottom w:val="single" w:sz="1" w:space="0" w:color="DDDDDD"/>
              <w:right w:val="single" w:sz="1" w:space="0" w:color="DDDDDD"/>
            </w:tcBorders>
            <w:shd w:val="clear" w:color="auto" w:fill="1F3864"/>
            <w:tcMar>
              <w:top w:w="100" w:type="dxa"/>
              <w:left w:w="140" w:type="dxa"/>
              <w:bottom w:w="100" w:type="dxa"/>
              <w:right w:w="140" w:type="dxa"/>
            </w:tcMar>
          </w:tcPr>
          <w:p w14:paraId="77B6E2C9" w14:textId="77777777" w:rsidR="00C559D7" w:rsidRDefault="007D7FE4">
            <w:r>
              <w:rPr>
                <w:b/>
                <w:bCs/>
                <w:color w:val="FFFFFF"/>
              </w:rPr>
              <w:t>Meta Skills</w:t>
            </w:r>
          </w:p>
        </w:tc>
        <w:tc>
          <w:tcPr>
            <w:tcW w:w="3513" w:type="dxa"/>
            <w:tcBorders>
              <w:top w:val="single" w:sz="1" w:space="0" w:color="DDDDDD"/>
              <w:left w:val="single" w:sz="1" w:space="0" w:color="DDDDDD"/>
              <w:bottom w:val="single" w:sz="1" w:space="0" w:color="DDDDDD"/>
              <w:right w:val="single" w:sz="1" w:space="0" w:color="DDDDDD"/>
            </w:tcBorders>
            <w:shd w:val="clear" w:color="auto" w:fill="B7410E"/>
            <w:tcMar>
              <w:top w:w="100" w:type="dxa"/>
              <w:left w:w="140" w:type="dxa"/>
              <w:bottom w:w="100" w:type="dxa"/>
              <w:right w:w="140" w:type="dxa"/>
            </w:tcMar>
          </w:tcPr>
          <w:p w14:paraId="3E273613" w14:textId="77777777" w:rsidR="00C559D7" w:rsidRDefault="007D7FE4">
            <w:r>
              <w:rPr>
                <w:b/>
                <w:bCs/>
                <w:color w:val="FFFFFF"/>
              </w:rPr>
              <w:t>Entrepreneurial Skill Sets</w:t>
            </w:r>
          </w:p>
        </w:tc>
      </w:tr>
      <w:tr w:rsidR="00C559D7" w14:paraId="3B01745D" w14:textId="77777777">
        <w:tblPrEx>
          <w:tblCellMar>
            <w:top w:w="0" w:type="dxa"/>
            <w:bottom w:w="0" w:type="dxa"/>
          </w:tblCellMar>
        </w:tblPrEx>
        <w:tc>
          <w:tcPr>
            <w:tcW w:w="2000" w:type="dxa"/>
            <w:tcBorders>
              <w:top w:val="single" w:sz="1" w:space="0" w:color="DDDDDD"/>
              <w:left w:val="single" w:sz="1" w:space="0" w:color="DDDDDD"/>
              <w:bottom w:val="single" w:sz="1" w:space="0" w:color="DDDDDD"/>
              <w:right w:val="single" w:sz="1" w:space="0" w:color="DDDDDD"/>
            </w:tcBorders>
            <w:shd w:val="clear" w:color="auto" w:fill="E8ECF5"/>
            <w:tcMar>
              <w:top w:w="100" w:type="dxa"/>
              <w:left w:w="140" w:type="dxa"/>
              <w:bottom w:w="100" w:type="dxa"/>
              <w:right w:w="140" w:type="dxa"/>
            </w:tcMar>
          </w:tcPr>
          <w:p w14:paraId="4EDC1017" w14:textId="77777777" w:rsidR="00C559D7" w:rsidRDefault="007D7FE4">
            <w:r>
              <w:rPr>
                <w:b/>
                <w:bCs/>
                <w:color w:val="1F3864"/>
              </w:rPr>
              <w:t>Context</w:t>
            </w:r>
          </w:p>
        </w:tc>
        <w:tc>
          <w:tcPr>
            <w:tcW w:w="3513" w:type="dxa"/>
            <w:tcBorders>
              <w:top w:val="single" w:sz="1" w:space="0" w:color="DDDDDD"/>
              <w:left w:val="single" w:sz="1" w:space="0" w:color="DDDDDD"/>
              <w:bottom w:val="single" w:sz="1" w:space="0" w:color="DDDDDD"/>
              <w:right w:val="single" w:sz="1" w:space="0" w:color="DDDDDD"/>
            </w:tcBorders>
            <w:shd w:val="clear" w:color="auto" w:fill="EBF3FB"/>
            <w:tcMar>
              <w:top w:w="100" w:type="dxa"/>
              <w:left w:w="140" w:type="dxa"/>
              <w:bottom w:w="100" w:type="dxa"/>
              <w:right w:w="140" w:type="dxa"/>
            </w:tcMar>
          </w:tcPr>
          <w:p w14:paraId="6B622316" w14:textId="77777777" w:rsidR="00C559D7" w:rsidRDefault="007D7FE4">
            <w:r>
              <w:t>Any — classroom, workplace, personal life, civic life</w:t>
            </w:r>
          </w:p>
        </w:tc>
        <w:tc>
          <w:tcPr>
            <w:tcW w:w="3513" w:type="dxa"/>
            <w:tcBorders>
              <w:top w:val="single" w:sz="1" w:space="0" w:color="DDDDDD"/>
              <w:left w:val="single" w:sz="1" w:space="0" w:color="DDDDDD"/>
              <w:bottom w:val="single" w:sz="1" w:space="0" w:color="DDDDDD"/>
              <w:right w:val="single" w:sz="1" w:space="0" w:color="DDDDDD"/>
            </w:tcBorders>
            <w:shd w:val="clear" w:color="auto" w:fill="FEF9EC"/>
            <w:tcMar>
              <w:top w:w="100" w:type="dxa"/>
              <w:left w:w="140" w:type="dxa"/>
              <w:bottom w:w="100" w:type="dxa"/>
              <w:right w:w="140" w:type="dxa"/>
            </w:tcMar>
          </w:tcPr>
          <w:p w14:paraId="2EE8FB67" w14:textId="77777777" w:rsidR="00C559D7" w:rsidRDefault="007D7FE4">
            <w:r>
              <w:t>Primarily business and enterprise — creating, growing, sustaining value</w:t>
            </w:r>
          </w:p>
        </w:tc>
      </w:tr>
      <w:tr w:rsidR="00C559D7" w14:paraId="647E4B64" w14:textId="77777777">
        <w:tblPrEx>
          <w:tblCellMar>
            <w:top w:w="0" w:type="dxa"/>
            <w:bottom w:w="0" w:type="dxa"/>
          </w:tblCellMar>
        </w:tblPrEx>
        <w:tc>
          <w:tcPr>
            <w:tcW w:w="2000" w:type="dxa"/>
            <w:tcBorders>
              <w:top w:val="single" w:sz="1" w:space="0" w:color="DDDDDD"/>
              <w:left w:val="single" w:sz="1" w:space="0" w:color="DDDDDD"/>
              <w:bottom w:val="single" w:sz="1" w:space="0" w:color="DDDDDD"/>
              <w:right w:val="single" w:sz="1" w:space="0" w:color="DDDDDD"/>
            </w:tcBorders>
            <w:shd w:val="clear" w:color="auto" w:fill="E8ECF5"/>
            <w:tcMar>
              <w:top w:w="100" w:type="dxa"/>
              <w:left w:w="140" w:type="dxa"/>
              <w:bottom w:w="100" w:type="dxa"/>
              <w:right w:w="140" w:type="dxa"/>
            </w:tcMar>
          </w:tcPr>
          <w:p w14:paraId="41D9D460" w14:textId="77777777" w:rsidR="00C559D7" w:rsidRDefault="007D7FE4">
            <w:r>
              <w:rPr>
                <w:b/>
                <w:bCs/>
                <w:color w:val="1F3864"/>
              </w:rPr>
              <w:t>Orientation</w:t>
            </w:r>
          </w:p>
        </w:tc>
        <w:tc>
          <w:tcPr>
            <w:tcW w:w="3513" w:type="dxa"/>
            <w:tcBorders>
              <w:top w:val="single" w:sz="1" w:space="0" w:color="DDDDDD"/>
              <w:left w:val="single" w:sz="1" w:space="0" w:color="DDDDDD"/>
              <w:bottom w:val="single" w:sz="1" w:space="0" w:color="DDDDDD"/>
              <w:right w:val="single" w:sz="1" w:space="0" w:color="DDDDDD"/>
            </w:tcBorders>
            <w:shd w:val="clear" w:color="auto" w:fill="EBF3FB"/>
            <w:tcMar>
              <w:top w:w="100" w:type="dxa"/>
              <w:left w:w="140" w:type="dxa"/>
              <w:bottom w:w="100" w:type="dxa"/>
              <w:right w:w="140" w:type="dxa"/>
            </w:tcMar>
          </w:tcPr>
          <w:p w14:paraId="5CB53061" w14:textId="77777777" w:rsidR="00C559D7" w:rsidRDefault="007D7FE4">
            <w:r>
              <w:t>Inward and interpersonal — who you are and how you operate</w:t>
            </w:r>
          </w:p>
        </w:tc>
        <w:tc>
          <w:tcPr>
            <w:tcW w:w="3513" w:type="dxa"/>
            <w:tcBorders>
              <w:top w:val="single" w:sz="1" w:space="0" w:color="DDDDDD"/>
              <w:left w:val="single" w:sz="1" w:space="0" w:color="DDDDDD"/>
              <w:bottom w:val="single" w:sz="1" w:space="0" w:color="DDDDDD"/>
              <w:right w:val="single" w:sz="1" w:space="0" w:color="DDDDDD"/>
            </w:tcBorders>
            <w:shd w:val="clear" w:color="auto" w:fill="FEF9EC"/>
            <w:tcMar>
              <w:top w:w="100" w:type="dxa"/>
              <w:left w:w="140" w:type="dxa"/>
              <w:bottom w:w="100" w:type="dxa"/>
              <w:right w:w="140" w:type="dxa"/>
            </w:tcMar>
          </w:tcPr>
          <w:p w14:paraId="2E0DDA59" w14:textId="77777777" w:rsidR="00C559D7" w:rsidRDefault="007D7FE4">
            <w:r>
              <w:t>Outward and economic — what you build and what impact it has</w:t>
            </w:r>
          </w:p>
        </w:tc>
      </w:tr>
      <w:tr w:rsidR="00C559D7" w14:paraId="21826872" w14:textId="77777777">
        <w:tblPrEx>
          <w:tblCellMar>
            <w:top w:w="0" w:type="dxa"/>
            <w:bottom w:w="0" w:type="dxa"/>
          </w:tblCellMar>
        </w:tblPrEx>
        <w:tc>
          <w:tcPr>
            <w:tcW w:w="2000" w:type="dxa"/>
            <w:tcBorders>
              <w:top w:val="single" w:sz="1" w:space="0" w:color="DDDDDD"/>
              <w:left w:val="single" w:sz="1" w:space="0" w:color="DDDDDD"/>
              <w:bottom w:val="single" w:sz="1" w:space="0" w:color="DDDDDD"/>
              <w:right w:val="single" w:sz="1" w:space="0" w:color="DDDDDD"/>
            </w:tcBorders>
            <w:shd w:val="clear" w:color="auto" w:fill="E8ECF5"/>
            <w:tcMar>
              <w:top w:w="100" w:type="dxa"/>
              <w:left w:w="140" w:type="dxa"/>
              <w:bottom w:w="100" w:type="dxa"/>
              <w:right w:w="140" w:type="dxa"/>
            </w:tcMar>
          </w:tcPr>
          <w:p w14:paraId="5C1F2AF8" w14:textId="77777777" w:rsidR="00C559D7" w:rsidRDefault="007D7FE4">
            <w:r>
              <w:rPr>
                <w:b/>
                <w:bCs/>
                <w:color w:val="1F3864"/>
              </w:rPr>
              <w:t>Risk</w:t>
            </w:r>
          </w:p>
        </w:tc>
        <w:tc>
          <w:tcPr>
            <w:tcW w:w="3513" w:type="dxa"/>
            <w:tcBorders>
              <w:top w:val="single" w:sz="1" w:space="0" w:color="DDDDDD"/>
              <w:left w:val="single" w:sz="1" w:space="0" w:color="DDDDDD"/>
              <w:bottom w:val="single" w:sz="1" w:space="0" w:color="DDDDDD"/>
              <w:right w:val="single" w:sz="1" w:space="0" w:color="DDDDDD"/>
            </w:tcBorders>
            <w:shd w:val="clear" w:color="auto" w:fill="EBF3FB"/>
            <w:tcMar>
              <w:top w:w="100" w:type="dxa"/>
              <w:left w:w="140" w:type="dxa"/>
              <w:bottom w:w="100" w:type="dxa"/>
              <w:right w:w="140" w:type="dxa"/>
            </w:tcMar>
          </w:tcPr>
          <w:p w14:paraId="32C05EA9" w14:textId="77777777" w:rsidR="00C559D7" w:rsidRDefault="007D7FE4">
            <w:r>
              <w:t>Not central — meta skills support good decision-making in general</w:t>
            </w:r>
          </w:p>
        </w:tc>
        <w:tc>
          <w:tcPr>
            <w:tcW w:w="3513" w:type="dxa"/>
            <w:tcBorders>
              <w:top w:val="single" w:sz="1" w:space="0" w:color="DDDDDD"/>
              <w:left w:val="single" w:sz="1" w:space="0" w:color="DDDDDD"/>
              <w:bottom w:val="single" w:sz="1" w:space="0" w:color="DDDDDD"/>
              <w:right w:val="single" w:sz="1" w:space="0" w:color="DDDDDD"/>
            </w:tcBorders>
            <w:shd w:val="clear" w:color="auto" w:fill="FEF9EC"/>
            <w:tcMar>
              <w:top w:w="100" w:type="dxa"/>
              <w:left w:w="140" w:type="dxa"/>
              <w:bottom w:w="100" w:type="dxa"/>
              <w:right w:w="140" w:type="dxa"/>
            </w:tcMar>
          </w:tcPr>
          <w:p w14:paraId="18FC48D2" w14:textId="77777777" w:rsidR="00C559D7" w:rsidRDefault="007D7FE4">
            <w:r>
              <w:t>Central — taking calculated risks is part of the definition</w:t>
            </w:r>
          </w:p>
        </w:tc>
      </w:tr>
      <w:tr w:rsidR="00C559D7" w14:paraId="4B56BF8E" w14:textId="77777777">
        <w:tblPrEx>
          <w:tblCellMar>
            <w:top w:w="0" w:type="dxa"/>
            <w:bottom w:w="0" w:type="dxa"/>
          </w:tblCellMar>
        </w:tblPrEx>
        <w:tc>
          <w:tcPr>
            <w:tcW w:w="2000" w:type="dxa"/>
            <w:tcBorders>
              <w:top w:val="single" w:sz="1" w:space="0" w:color="DDDDDD"/>
              <w:left w:val="single" w:sz="1" w:space="0" w:color="DDDDDD"/>
              <w:bottom w:val="single" w:sz="1" w:space="0" w:color="DDDDDD"/>
              <w:right w:val="single" w:sz="1" w:space="0" w:color="DDDDDD"/>
            </w:tcBorders>
            <w:shd w:val="clear" w:color="auto" w:fill="E8ECF5"/>
            <w:tcMar>
              <w:top w:w="100" w:type="dxa"/>
              <w:left w:w="140" w:type="dxa"/>
              <w:bottom w:w="100" w:type="dxa"/>
              <w:right w:w="140" w:type="dxa"/>
            </w:tcMar>
          </w:tcPr>
          <w:p w14:paraId="22EDB42F" w14:textId="77777777" w:rsidR="00C559D7" w:rsidRDefault="007D7FE4">
            <w:r>
              <w:rPr>
                <w:b/>
                <w:bCs/>
                <w:color w:val="1F3864"/>
              </w:rPr>
              <w:t>Financial dimension</w:t>
            </w:r>
          </w:p>
        </w:tc>
        <w:tc>
          <w:tcPr>
            <w:tcW w:w="3513" w:type="dxa"/>
            <w:tcBorders>
              <w:top w:val="single" w:sz="1" w:space="0" w:color="DDDDDD"/>
              <w:left w:val="single" w:sz="1" w:space="0" w:color="DDDDDD"/>
              <w:bottom w:val="single" w:sz="1" w:space="0" w:color="DDDDDD"/>
              <w:right w:val="single" w:sz="1" w:space="0" w:color="DDDDDD"/>
            </w:tcBorders>
            <w:shd w:val="clear" w:color="auto" w:fill="EBF3FB"/>
            <w:tcMar>
              <w:top w:w="100" w:type="dxa"/>
              <w:left w:w="140" w:type="dxa"/>
              <w:bottom w:w="100" w:type="dxa"/>
              <w:right w:w="140" w:type="dxa"/>
            </w:tcMar>
          </w:tcPr>
          <w:p w14:paraId="14262F97" w14:textId="77777777" w:rsidR="00C559D7" w:rsidRDefault="007D7FE4">
            <w:r>
              <w:t>Absent — meta skills don’t require understanding of money, value, or return</w:t>
            </w:r>
          </w:p>
        </w:tc>
        <w:tc>
          <w:tcPr>
            <w:tcW w:w="3513" w:type="dxa"/>
            <w:tcBorders>
              <w:top w:val="single" w:sz="1" w:space="0" w:color="DDDDDD"/>
              <w:left w:val="single" w:sz="1" w:space="0" w:color="DDDDDD"/>
              <w:bottom w:val="single" w:sz="1" w:space="0" w:color="DDDDDD"/>
              <w:right w:val="single" w:sz="1" w:space="0" w:color="DDDDDD"/>
            </w:tcBorders>
            <w:shd w:val="clear" w:color="auto" w:fill="FEF9EC"/>
            <w:tcMar>
              <w:top w:w="100" w:type="dxa"/>
              <w:left w:w="140" w:type="dxa"/>
              <w:bottom w:w="100" w:type="dxa"/>
              <w:right w:w="140" w:type="dxa"/>
            </w:tcMar>
          </w:tcPr>
          <w:p w14:paraId="17FC7665" w14:textId="77777777" w:rsidR="00C559D7" w:rsidRDefault="007D7FE4">
            <w:r>
              <w:t>Present — understanding cost, value, margin, and investment is embedded</w:t>
            </w:r>
          </w:p>
        </w:tc>
      </w:tr>
      <w:tr w:rsidR="00C559D7" w14:paraId="16FA92E5" w14:textId="77777777">
        <w:tblPrEx>
          <w:tblCellMar>
            <w:top w:w="0" w:type="dxa"/>
            <w:bottom w:w="0" w:type="dxa"/>
          </w:tblCellMar>
        </w:tblPrEx>
        <w:tc>
          <w:tcPr>
            <w:tcW w:w="2000" w:type="dxa"/>
            <w:tcBorders>
              <w:top w:val="single" w:sz="1" w:space="0" w:color="DDDDDD"/>
              <w:left w:val="single" w:sz="1" w:space="0" w:color="DDDDDD"/>
              <w:bottom w:val="single" w:sz="1" w:space="0" w:color="DDDDDD"/>
              <w:right w:val="single" w:sz="1" w:space="0" w:color="DDDDDD"/>
            </w:tcBorders>
            <w:shd w:val="clear" w:color="auto" w:fill="E8ECF5"/>
            <w:tcMar>
              <w:top w:w="100" w:type="dxa"/>
              <w:left w:w="140" w:type="dxa"/>
              <w:bottom w:w="100" w:type="dxa"/>
              <w:right w:w="140" w:type="dxa"/>
            </w:tcMar>
          </w:tcPr>
          <w:p w14:paraId="59FF93A2" w14:textId="77777777" w:rsidR="00C559D7" w:rsidRDefault="007D7FE4">
            <w:r>
              <w:rPr>
                <w:b/>
                <w:bCs/>
                <w:color w:val="1F3864"/>
              </w:rPr>
              <w:t>Time horizon</w:t>
            </w:r>
          </w:p>
        </w:tc>
        <w:tc>
          <w:tcPr>
            <w:tcW w:w="3513" w:type="dxa"/>
            <w:tcBorders>
              <w:top w:val="single" w:sz="1" w:space="0" w:color="DDDDDD"/>
              <w:left w:val="single" w:sz="1" w:space="0" w:color="DDDDDD"/>
              <w:bottom w:val="single" w:sz="1" w:space="0" w:color="DDDDDD"/>
              <w:right w:val="single" w:sz="1" w:space="0" w:color="DDDDDD"/>
            </w:tcBorders>
            <w:shd w:val="clear" w:color="auto" w:fill="EBF3FB"/>
            <w:tcMar>
              <w:top w:w="100" w:type="dxa"/>
              <w:left w:w="140" w:type="dxa"/>
              <w:bottom w:w="100" w:type="dxa"/>
              <w:right w:w="140" w:type="dxa"/>
            </w:tcMar>
          </w:tcPr>
          <w:p w14:paraId="3CCFA104" w14:textId="77777777" w:rsidR="00C559D7" w:rsidRDefault="007D7FE4">
            <w:r>
              <w:t>Lifelong development — you never finish developing meta skills</w:t>
            </w:r>
          </w:p>
        </w:tc>
        <w:tc>
          <w:tcPr>
            <w:tcW w:w="3513" w:type="dxa"/>
            <w:tcBorders>
              <w:top w:val="single" w:sz="1" w:space="0" w:color="DDDDDD"/>
              <w:left w:val="single" w:sz="1" w:space="0" w:color="DDDDDD"/>
              <w:bottom w:val="single" w:sz="1" w:space="0" w:color="DDDDDD"/>
              <w:right w:val="single" w:sz="1" w:space="0" w:color="DDDDDD"/>
            </w:tcBorders>
            <w:shd w:val="clear" w:color="auto" w:fill="FEF9EC"/>
            <w:tcMar>
              <w:top w:w="100" w:type="dxa"/>
              <w:left w:w="140" w:type="dxa"/>
              <w:bottom w:w="100" w:type="dxa"/>
              <w:right w:w="140" w:type="dxa"/>
            </w:tcMar>
          </w:tcPr>
          <w:p w14:paraId="0460F744" w14:textId="77777777" w:rsidR="00C559D7" w:rsidRDefault="007D7FE4">
            <w:r>
              <w:t>Task and outcome focused — did this work? What did it produce?</w:t>
            </w:r>
          </w:p>
        </w:tc>
      </w:tr>
      <w:tr w:rsidR="00C559D7" w14:paraId="46B1CCBD" w14:textId="77777777">
        <w:tblPrEx>
          <w:tblCellMar>
            <w:top w:w="0" w:type="dxa"/>
            <w:bottom w:w="0" w:type="dxa"/>
          </w:tblCellMar>
        </w:tblPrEx>
        <w:tc>
          <w:tcPr>
            <w:tcW w:w="2000" w:type="dxa"/>
            <w:tcBorders>
              <w:top w:val="single" w:sz="1" w:space="0" w:color="DDDDDD"/>
              <w:left w:val="single" w:sz="1" w:space="0" w:color="DDDDDD"/>
              <w:bottom w:val="single" w:sz="1" w:space="0" w:color="DDDDDD"/>
              <w:right w:val="single" w:sz="1" w:space="0" w:color="DDDDDD"/>
            </w:tcBorders>
            <w:shd w:val="clear" w:color="auto" w:fill="E8ECF5"/>
            <w:tcMar>
              <w:top w:w="100" w:type="dxa"/>
              <w:left w:w="140" w:type="dxa"/>
              <w:bottom w:w="100" w:type="dxa"/>
              <w:right w:w="140" w:type="dxa"/>
            </w:tcMar>
          </w:tcPr>
          <w:p w14:paraId="25E20E98" w14:textId="77777777" w:rsidR="00C559D7" w:rsidRDefault="007D7FE4">
            <w:r>
              <w:rPr>
                <w:b/>
                <w:bCs/>
                <w:color w:val="1F3864"/>
              </w:rPr>
              <w:t>Explicit in curriculum</w:t>
            </w:r>
          </w:p>
        </w:tc>
        <w:tc>
          <w:tcPr>
            <w:tcW w:w="3513" w:type="dxa"/>
            <w:tcBorders>
              <w:top w:val="single" w:sz="1" w:space="0" w:color="DDDDDD"/>
              <w:left w:val="single" w:sz="1" w:space="0" w:color="DDDDDD"/>
              <w:bottom w:val="single" w:sz="1" w:space="0" w:color="DDDDDD"/>
              <w:right w:val="single" w:sz="1" w:space="0" w:color="DDDDDD"/>
            </w:tcBorders>
            <w:shd w:val="clear" w:color="auto" w:fill="EBF3FB"/>
            <w:tcMar>
              <w:top w:w="100" w:type="dxa"/>
              <w:left w:w="140" w:type="dxa"/>
              <w:bottom w:w="100" w:type="dxa"/>
              <w:right w:w="140" w:type="dxa"/>
            </w:tcMar>
          </w:tcPr>
          <w:p w14:paraId="6C56A7EB" w14:textId="77777777" w:rsidR="00C559D7" w:rsidRDefault="007D7FE4">
            <w:r>
              <w:t xml:space="preserve">Increasingly — embedded in NextGen HN, </w:t>
            </w:r>
            <w:proofErr w:type="spellStart"/>
            <w:r>
              <w:t>CfE</w:t>
            </w:r>
            <w:proofErr w:type="spellEnd"/>
            <w:r>
              <w:t>, apprenticeships</w:t>
            </w:r>
          </w:p>
        </w:tc>
        <w:tc>
          <w:tcPr>
            <w:tcW w:w="3513" w:type="dxa"/>
            <w:tcBorders>
              <w:top w:val="single" w:sz="1" w:space="0" w:color="DDDDDD"/>
              <w:left w:val="single" w:sz="1" w:space="0" w:color="DDDDDD"/>
              <w:bottom w:val="single" w:sz="1" w:space="0" w:color="DDDDDD"/>
              <w:right w:val="single" w:sz="1" w:space="0" w:color="DDDDDD"/>
            </w:tcBorders>
            <w:shd w:val="clear" w:color="auto" w:fill="FEF9EC"/>
            <w:tcMar>
              <w:top w:w="100" w:type="dxa"/>
              <w:left w:w="140" w:type="dxa"/>
              <w:bottom w:w="100" w:type="dxa"/>
              <w:right w:w="140" w:type="dxa"/>
            </w:tcMar>
          </w:tcPr>
          <w:p w14:paraId="5374E63E" w14:textId="77777777" w:rsidR="00C559D7" w:rsidRDefault="007D7FE4">
            <w:r>
              <w:t>Less so — often implicit in vocational learning but rarely named</w:t>
            </w:r>
          </w:p>
        </w:tc>
      </w:tr>
    </w:tbl>
    <w:p w14:paraId="2E083DF0" w14:textId="77777777" w:rsidR="00C559D7" w:rsidRDefault="00C559D7">
      <w:pPr>
        <w:spacing w:before="320"/>
      </w:pPr>
    </w:p>
    <w:p w14:paraId="0D3CDA69" w14:textId="77777777" w:rsidR="00C559D7" w:rsidRDefault="007D7FE4">
      <w:pPr>
        <w:pStyle w:val="Heading1"/>
      </w:pPr>
      <w:r>
        <w:t>Practical guidance for your programme design</w:t>
      </w:r>
    </w:p>
    <w:p w14:paraId="7293A6CA" w14:textId="77777777" w:rsidR="00C559D7" w:rsidRDefault="007D7FE4">
      <w:pPr>
        <w:spacing w:before="80" w:after="100"/>
      </w:pPr>
      <w:r>
        <w:t>When you are designing or labelling a learning activity, ask yourself two questions:</w:t>
      </w:r>
    </w:p>
    <w:p w14:paraId="25727983" w14:textId="77777777" w:rsidR="00C559D7" w:rsidRDefault="007D7FE4">
      <w:pPr>
        <w:pStyle w:val="ListParagraph"/>
        <w:numPr>
          <w:ilvl w:val="0"/>
          <w:numId w:val="2"/>
        </w:numPr>
        <w:spacing w:before="80" w:after="60"/>
      </w:pPr>
      <w:r>
        <w:t xml:space="preserve">Is this developing a general human capability — how the person thinks, feels, relates, and operates? → </w:t>
      </w:r>
      <w:r>
        <w:rPr>
          <w:b/>
          <w:bCs/>
        </w:rPr>
        <w:t>Meta skill.</w:t>
      </w:r>
    </w:p>
    <w:p w14:paraId="33AC603F" w14:textId="77777777" w:rsidR="00C559D7" w:rsidRDefault="007D7FE4">
      <w:pPr>
        <w:pStyle w:val="ListParagraph"/>
        <w:numPr>
          <w:ilvl w:val="0"/>
          <w:numId w:val="2"/>
        </w:numPr>
        <w:spacing w:before="60" w:after="160"/>
      </w:pPr>
      <w:r>
        <w:lastRenderedPageBreak/>
        <w:t xml:space="preserve">Is this developing a capability specifically tied to creating value, taking initiative in a business or enterprise context, or navigating economic risk? → </w:t>
      </w:r>
      <w:r>
        <w:rPr>
          <w:b/>
          <w:bCs/>
        </w:rPr>
        <w:t>Entrepreneurial skill set.</w:t>
      </w:r>
    </w:p>
    <w:p w14:paraId="76F51990" w14:textId="77777777" w:rsidR="00C559D7" w:rsidRDefault="007D7FE4">
      <w:pPr>
        <w:spacing w:before="80" w:after="100"/>
      </w:pPr>
      <w:r>
        <w:t>Many activities will do both, and that’s fine. The point is not to force a binary choice but to be able to name what you’re prioritising and why.</w:t>
      </w:r>
    </w:p>
    <w:p w14:paraId="33E2B0DC" w14:textId="77777777" w:rsidR="00C559D7" w:rsidRDefault="007D7FE4">
      <w:pPr>
        <w:spacing w:before="80" w:after="100"/>
      </w:pPr>
      <w:r>
        <w:t>When you explain an activity to an apprentice, try being explicit: “This is developing your entrepreneurial thinking — specifically your ability to spot a problem and propose a solution before being asked.” That level of precision helps young people build a vocabulary for their own development, which is exactly what employers are looking for and what most formal programmes currently fail to provide.</w:t>
      </w:r>
    </w:p>
    <w:p w14:paraId="1AA7B207" w14:textId="77777777" w:rsidR="00C559D7" w:rsidRDefault="00C559D7">
      <w:pPr>
        <w:spacing w:before="200"/>
      </w:pPr>
    </w:p>
    <w:p w14:paraId="2E6582AC" w14:textId="77777777" w:rsidR="00C559D7" w:rsidRDefault="007D7FE4">
      <w:pPr>
        <w:pBdr>
          <w:top w:val="single" w:sz="4" w:space="4" w:color="DDDDDD"/>
        </w:pBdr>
      </w:pPr>
      <w:r>
        <w:rPr>
          <w:color w:val="888888"/>
          <w:sz w:val="16"/>
          <w:szCs w:val="16"/>
        </w:rPr>
        <w:t>Based on the SDS Skills 4.0 framework (Skills Development Scotland / Centre for Work-based Learning Scotland)</w:t>
      </w:r>
    </w:p>
    <w:sectPr w:rsidR="00C559D7">
      <w:headerReference w:type="default" r:id="rId7"/>
      <w:footerReference w:type="default" r:id="rId8"/>
      <w:pgSz w:w="11906" w:h="16838"/>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22658D" w14:textId="77777777" w:rsidR="007D7FE4" w:rsidRDefault="007D7FE4">
      <w:r>
        <w:separator/>
      </w:r>
    </w:p>
  </w:endnote>
  <w:endnote w:type="continuationSeparator" w:id="0">
    <w:p w14:paraId="7366FD0D" w14:textId="77777777" w:rsidR="007D7FE4" w:rsidRDefault="007D7F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 w:name="Aptos">
    <w:altName w:val="Calibri"/>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412A2" w14:textId="66B86156" w:rsidR="00C559D7" w:rsidRDefault="007D7FE4">
    <w:pPr>
      <w:pBdr>
        <w:top w:val="single" w:sz="4" w:space="1" w:color="2E75B6"/>
      </w:pBdr>
      <w:spacing w:before="100"/>
    </w:pPr>
    <w:r>
      <w:rPr>
        <w:color w:val="595959"/>
        <w:sz w:val="16"/>
        <w:szCs w:val="16"/>
      </w:rPr>
      <w:t xml:space="preserve">The Way </w:t>
    </w:r>
    <w:proofErr w:type="gramStart"/>
    <w:r>
      <w:rPr>
        <w:color w:val="595959"/>
        <w:sz w:val="16"/>
        <w:szCs w:val="16"/>
      </w:rPr>
      <w:t>Forward  2045</w:t>
    </w:r>
    <w:proofErr w:type="gramEnd"/>
    <w:r>
      <w:rPr>
        <w:color w:val="595959"/>
        <w:sz w:val="16"/>
        <w:szCs w:val="16"/>
      </w:rPr>
      <w:t xml:space="preserve"> </w:t>
    </w:r>
    <w:proofErr w:type="gramStart"/>
    <w:r>
      <w:rPr>
        <w:color w:val="595959"/>
        <w:sz w:val="16"/>
        <w:szCs w:val="16"/>
      </w:rPr>
      <w:t>|  Meta</w:t>
    </w:r>
    <w:proofErr w:type="gramEnd"/>
    <w:r>
      <w:rPr>
        <w:color w:val="595959"/>
        <w:sz w:val="16"/>
        <w:szCs w:val="16"/>
      </w:rPr>
      <w:t xml:space="preserve"> Skills vs Entrepreneurial Skill </w:t>
    </w:r>
    <w:proofErr w:type="gramStart"/>
    <w:r>
      <w:rPr>
        <w:color w:val="595959"/>
        <w:sz w:val="16"/>
        <w:szCs w:val="16"/>
      </w:rPr>
      <w:t>Sets  |</w:t>
    </w:r>
    <w:proofErr w:type="gramEnd"/>
    <w:r>
      <w:rPr>
        <w:color w:val="595959"/>
        <w:sz w:val="16"/>
        <w:szCs w:val="16"/>
      </w:rPr>
      <w:t xml:space="preserve">  For Programme Participants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391D5" w14:textId="77777777" w:rsidR="007D7FE4" w:rsidRDefault="007D7FE4">
      <w:r>
        <w:separator/>
      </w:r>
    </w:p>
  </w:footnote>
  <w:footnote w:type="continuationSeparator" w:id="0">
    <w:p w14:paraId="0E9CA82F" w14:textId="77777777" w:rsidR="007D7FE4" w:rsidRDefault="007D7F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3E8FC" w14:textId="1044F2C9" w:rsidR="00C559D7" w:rsidRDefault="007D7FE4">
    <w:pPr>
      <w:pBdr>
        <w:bottom w:val="single" w:sz="6" w:space="1" w:color="2E75B6"/>
      </w:pBdr>
      <w:spacing w:after="100"/>
    </w:pPr>
    <w:r>
      <w:rPr>
        <w:color w:val="595959"/>
        <w:sz w:val="18"/>
        <w:szCs w:val="18"/>
      </w:rPr>
      <w:t xml:space="preserve">  Quick Reference Guide- AI generated for ease!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C8481E"/>
    <w:multiLevelType w:val="hybridMultilevel"/>
    <w:tmpl w:val="D9D696BA"/>
    <w:lvl w:ilvl="0" w:tplc="F734385C">
      <w:start w:val="1"/>
      <w:numFmt w:val="bullet"/>
      <w:lvlText w:val="•"/>
      <w:lvlJc w:val="left"/>
      <w:pPr>
        <w:ind w:left="560" w:hanging="280"/>
      </w:pPr>
    </w:lvl>
    <w:lvl w:ilvl="1" w:tplc="883850F6">
      <w:numFmt w:val="decimal"/>
      <w:lvlText w:val=""/>
      <w:lvlJc w:val="left"/>
    </w:lvl>
    <w:lvl w:ilvl="2" w:tplc="80E2FE54">
      <w:numFmt w:val="decimal"/>
      <w:lvlText w:val=""/>
      <w:lvlJc w:val="left"/>
    </w:lvl>
    <w:lvl w:ilvl="3" w:tplc="98D25D2E">
      <w:numFmt w:val="decimal"/>
      <w:lvlText w:val=""/>
      <w:lvlJc w:val="left"/>
    </w:lvl>
    <w:lvl w:ilvl="4" w:tplc="20ACE824">
      <w:numFmt w:val="decimal"/>
      <w:lvlText w:val=""/>
      <w:lvlJc w:val="left"/>
    </w:lvl>
    <w:lvl w:ilvl="5" w:tplc="58E847D4">
      <w:numFmt w:val="decimal"/>
      <w:lvlText w:val=""/>
      <w:lvlJc w:val="left"/>
    </w:lvl>
    <w:lvl w:ilvl="6" w:tplc="EFB6BFB4">
      <w:numFmt w:val="decimal"/>
      <w:lvlText w:val=""/>
      <w:lvlJc w:val="left"/>
    </w:lvl>
    <w:lvl w:ilvl="7" w:tplc="06347278">
      <w:numFmt w:val="decimal"/>
      <w:lvlText w:val=""/>
      <w:lvlJc w:val="left"/>
    </w:lvl>
    <w:lvl w:ilvl="8" w:tplc="CBE46B44">
      <w:numFmt w:val="decimal"/>
      <w:lvlText w:val=""/>
      <w:lvlJc w:val="left"/>
    </w:lvl>
  </w:abstractNum>
  <w:abstractNum w:abstractNumId="1" w15:restartNumberingAfterBreak="0">
    <w:nsid w:val="3CD73406"/>
    <w:multiLevelType w:val="hybridMultilevel"/>
    <w:tmpl w:val="6AA835D8"/>
    <w:lvl w:ilvl="0" w:tplc="F1C6F308">
      <w:start w:val="1"/>
      <w:numFmt w:val="bullet"/>
      <w:lvlText w:val="●"/>
      <w:lvlJc w:val="left"/>
      <w:pPr>
        <w:ind w:left="720" w:hanging="360"/>
      </w:pPr>
    </w:lvl>
    <w:lvl w:ilvl="1" w:tplc="1D5A611E">
      <w:start w:val="1"/>
      <w:numFmt w:val="bullet"/>
      <w:lvlText w:val="○"/>
      <w:lvlJc w:val="left"/>
      <w:pPr>
        <w:ind w:left="1440" w:hanging="360"/>
      </w:pPr>
    </w:lvl>
    <w:lvl w:ilvl="2" w:tplc="3E301938">
      <w:start w:val="1"/>
      <w:numFmt w:val="bullet"/>
      <w:lvlText w:val="■"/>
      <w:lvlJc w:val="left"/>
      <w:pPr>
        <w:ind w:left="2160" w:hanging="360"/>
      </w:pPr>
    </w:lvl>
    <w:lvl w:ilvl="3" w:tplc="B708293C">
      <w:start w:val="1"/>
      <w:numFmt w:val="bullet"/>
      <w:lvlText w:val="●"/>
      <w:lvlJc w:val="left"/>
      <w:pPr>
        <w:ind w:left="2880" w:hanging="360"/>
      </w:pPr>
    </w:lvl>
    <w:lvl w:ilvl="4" w:tplc="2B3E3EBE">
      <w:start w:val="1"/>
      <w:numFmt w:val="bullet"/>
      <w:lvlText w:val="○"/>
      <w:lvlJc w:val="left"/>
      <w:pPr>
        <w:ind w:left="3600" w:hanging="360"/>
      </w:pPr>
    </w:lvl>
    <w:lvl w:ilvl="5" w:tplc="8D6850A4">
      <w:start w:val="1"/>
      <w:numFmt w:val="bullet"/>
      <w:lvlText w:val="■"/>
      <w:lvlJc w:val="left"/>
      <w:pPr>
        <w:ind w:left="4320" w:hanging="360"/>
      </w:pPr>
    </w:lvl>
    <w:lvl w:ilvl="6" w:tplc="16041C7E">
      <w:start w:val="1"/>
      <w:numFmt w:val="bullet"/>
      <w:lvlText w:val="●"/>
      <w:lvlJc w:val="left"/>
      <w:pPr>
        <w:ind w:left="5040" w:hanging="360"/>
      </w:pPr>
    </w:lvl>
    <w:lvl w:ilvl="7" w:tplc="5EBE25D0">
      <w:start w:val="1"/>
      <w:numFmt w:val="bullet"/>
      <w:lvlText w:val="●"/>
      <w:lvlJc w:val="left"/>
      <w:pPr>
        <w:ind w:left="5760" w:hanging="360"/>
      </w:pPr>
    </w:lvl>
    <w:lvl w:ilvl="8" w:tplc="E3E8DC6A">
      <w:start w:val="1"/>
      <w:numFmt w:val="bullet"/>
      <w:lvlText w:val="●"/>
      <w:lvlJc w:val="left"/>
      <w:pPr>
        <w:ind w:left="6480" w:hanging="360"/>
      </w:pPr>
    </w:lvl>
  </w:abstractNum>
  <w:num w:numId="1" w16cid:durableId="928468158">
    <w:abstractNumId w:val="1"/>
    <w:lvlOverride w:ilvl="0">
      <w:startOverride w:val="1"/>
    </w:lvlOverride>
  </w:num>
  <w:num w:numId="2" w16cid:durableId="61873120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59D7"/>
    <w:rsid w:val="004F4380"/>
    <w:rsid w:val="007D7FE4"/>
    <w:rsid w:val="00C559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9CDAB"/>
  <w15:docId w15:val="{786A3AE8-60B2-4F03-BA9E-136BACED3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80" w:after="120"/>
      <w:outlineLvl w:val="0"/>
    </w:pPr>
    <w:rPr>
      <w:b/>
      <w:bCs/>
      <w:color w:val="1F3864"/>
      <w:sz w:val="26"/>
      <w:szCs w:val="26"/>
    </w:rPr>
  </w:style>
  <w:style w:type="paragraph" w:styleId="Heading2">
    <w:name w:val="heading 2"/>
    <w:uiPriority w:val="9"/>
    <w:semiHidden/>
    <w:unhideWhenUsed/>
    <w:qFormat/>
    <w:pPr>
      <w:spacing w:before="200" w:after="80"/>
      <w:outlineLvl w:val="1"/>
    </w:pPr>
    <w:rPr>
      <w:b/>
      <w:bCs/>
      <w:color w:val="2E75B6"/>
      <w:sz w:val="22"/>
      <w:szCs w:val="22"/>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7D7FE4"/>
    <w:pPr>
      <w:tabs>
        <w:tab w:val="center" w:pos="4513"/>
        <w:tab w:val="right" w:pos="9026"/>
      </w:tabs>
    </w:pPr>
  </w:style>
  <w:style w:type="character" w:customStyle="1" w:styleId="HeaderChar">
    <w:name w:val="Header Char"/>
    <w:basedOn w:val="DefaultParagraphFont"/>
    <w:link w:val="Header"/>
    <w:uiPriority w:val="99"/>
    <w:rsid w:val="007D7FE4"/>
  </w:style>
  <w:style w:type="paragraph" w:styleId="Footer">
    <w:name w:val="footer"/>
    <w:basedOn w:val="Normal"/>
    <w:link w:val="FooterChar"/>
    <w:uiPriority w:val="99"/>
    <w:unhideWhenUsed/>
    <w:rsid w:val="007D7FE4"/>
    <w:pPr>
      <w:tabs>
        <w:tab w:val="center" w:pos="4513"/>
        <w:tab w:val="right" w:pos="9026"/>
      </w:tabs>
    </w:pPr>
  </w:style>
  <w:style w:type="character" w:customStyle="1" w:styleId="FooterChar">
    <w:name w:val="Footer Char"/>
    <w:basedOn w:val="DefaultParagraphFont"/>
    <w:link w:val="Footer"/>
    <w:uiPriority w:val="99"/>
    <w:rsid w:val="007D7F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4103</TotalTime>
  <Pages>3</Pages>
  <Words>923</Words>
  <Characters>5262</Characters>
  <Application>Microsoft Office Word</Application>
  <DocSecurity>4</DocSecurity>
  <Lines>43</Lines>
  <Paragraphs>12</Paragraphs>
  <ScaleCrop>false</ScaleCrop>
  <Company/>
  <LinksUpToDate>false</LinksUpToDate>
  <CharactersWithSpaces>6173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Wendy White-Finnigan</cp:lastModifiedBy>
  <cp:revision>2</cp:revision>
  <dcterms:created xsi:type="dcterms:W3CDTF">2026-05-17T05:26:00Z</dcterms:created>
  <dcterms:modified xsi:type="dcterms:W3CDTF">2026-05-17T05:26:00Z</dcterms:modified>
</cp:coreProperties>
</file>